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hd w:val="clear"/>
        <w:spacing w:line="360" w:lineRule="auto"/>
        <w:jc w:val="center"/>
        <w:rPr>
          <w:rFonts w:hint="default" w:ascii="Times New Roman" w:hAnsi="Times New Roman" w:eastAsia="黑体" w:cs="Times New Roman"/>
          <w:b/>
          <w:bCs/>
          <w:w w:val="95"/>
          <w:sz w:val="48"/>
          <w:szCs w:val="48"/>
          <w:highlight w:val="none"/>
          <w:lang w:val="en-US" w:eastAsia="zh-CN"/>
        </w:rPr>
      </w:pPr>
      <w:r>
        <w:rPr>
          <w:rFonts w:hint="eastAsia" w:eastAsia="黑体" w:cs="Times New Roman"/>
          <w:b/>
          <w:bCs/>
          <w:w w:val="95"/>
          <w:sz w:val="48"/>
          <w:szCs w:val="48"/>
          <w:highlight w:val="none"/>
          <w:lang w:val="en-US" w:eastAsia="zh-CN"/>
        </w:rPr>
        <w:t>江苏金羚纤维素纤维有限公司</w:t>
      </w:r>
    </w:p>
    <w:p>
      <w:pPr>
        <w:shd w:val="clear"/>
        <w:spacing w:line="360" w:lineRule="auto"/>
        <w:jc w:val="center"/>
        <w:rPr>
          <w:rFonts w:hint="eastAsia" w:eastAsia="黑体" w:cs="Times New Roman"/>
          <w:b/>
          <w:bCs/>
          <w:sz w:val="48"/>
          <w:szCs w:val="48"/>
          <w:highlight w:val="none"/>
          <w:lang w:val="en-US" w:eastAsia="zh-CN"/>
        </w:rPr>
      </w:pPr>
      <w:r>
        <w:rPr>
          <w:rFonts w:hint="default" w:ascii="Times New Roman" w:hAnsi="Times New Roman" w:eastAsia="黑体" w:cs="Times New Roman"/>
          <w:b/>
          <w:bCs/>
          <w:sz w:val="48"/>
          <w:szCs w:val="48"/>
          <w:highlight w:val="none"/>
          <w:lang w:eastAsia="zh-CN"/>
        </w:rPr>
        <w:t>土壤和地下水自行监测</w:t>
      </w:r>
      <w:r>
        <w:rPr>
          <w:rFonts w:hint="eastAsia" w:eastAsia="黑体" w:cs="Times New Roman"/>
          <w:b/>
          <w:bCs/>
          <w:sz w:val="48"/>
          <w:szCs w:val="48"/>
          <w:highlight w:val="none"/>
          <w:lang w:val="en-US" w:eastAsia="zh-CN"/>
        </w:rPr>
        <w:t>报告</w:t>
      </w:r>
    </w:p>
    <w:p>
      <w:pPr>
        <w:shd w:val="clear"/>
        <w:spacing w:line="360" w:lineRule="auto"/>
        <w:jc w:val="center"/>
        <w:rPr>
          <w:rFonts w:hint="eastAsia" w:eastAsia="黑体" w:cs="Times New Roman"/>
          <w:b/>
          <w:bCs/>
          <w:sz w:val="48"/>
          <w:szCs w:val="48"/>
          <w:highlight w:val="none"/>
          <w:lang w:val="en-US" w:eastAsia="zh-CN"/>
        </w:rPr>
      </w:pPr>
    </w:p>
    <w:p>
      <w:pPr>
        <w:shd w:val="clear"/>
        <w:spacing w:line="360" w:lineRule="auto"/>
        <w:jc w:val="center"/>
        <w:rPr>
          <w:rFonts w:hint="default" w:eastAsia="黑体" w:cs="Times New Roman"/>
          <w:b/>
          <w:bCs/>
          <w:sz w:val="48"/>
          <w:szCs w:val="48"/>
          <w:highlight w:val="none"/>
          <w:lang w:val="en-US" w:eastAsia="zh-CN"/>
        </w:rPr>
      </w:pPr>
      <w:r>
        <w:rPr>
          <w:rFonts w:hint="eastAsia" w:eastAsia="黑体" w:cs="Times New Roman"/>
          <w:b/>
          <w:bCs/>
          <w:sz w:val="48"/>
          <w:szCs w:val="48"/>
          <w:highlight w:val="none"/>
          <w:lang w:val="en-US" w:eastAsia="zh-CN"/>
        </w:rPr>
        <w:t>（公示）</w:t>
      </w:r>
    </w:p>
    <w:p>
      <w:pPr>
        <w:shd w:val="clear"/>
        <w:rPr>
          <w:rFonts w:hint="default" w:ascii="Times New Roman" w:hAnsi="Times New Roman" w:cs="Times New Roman"/>
          <w:b/>
          <w:bCs/>
          <w:sz w:val="48"/>
          <w:szCs w:val="48"/>
          <w:highlight w:val="none"/>
          <w:lang w:eastAsia="zh-CN"/>
        </w:rPr>
      </w:pPr>
    </w:p>
    <w:p>
      <w:pPr>
        <w:pStyle w:val="5"/>
        <w:shd w:val="clear"/>
        <w:rPr>
          <w:rFonts w:hint="default" w:ascii="Times New Roman" w:hAnsi="Times New Roman" w:cs="Times New Roman"/>
          <w:b/>
          <w:bCs/>
          <w:sz w:val="48"/>
          <w:szCs w:val="48"/>
          <w:highlight w:val="none"/>
          <w:lang w:eastAsia="zh-CN"/>
        </w:rPr>
      </w:pPr>
    </w:p>
    <w:p>
      <w:pPr>
        <w:shd w:val="clear"/>
        <w:rPr>
          <w:rFonts w:hint="default" w:ascii="Times New Roman" w:hAnsi="Times New Roman" w:cs="Times New Roman"/>
          <w:b/>
          <w:bCs/>
          <w:sz w:val="48"/>
          <w:szCs w:val="48"/>
          <w:highlight w:val="none"/>
          <w:lang w:eastAsia="zh-CN"/>
        </w:rPr>
      </w:pPr>
    </w:p>
    <w:p>
      <w:pPr>
        <w:shd w:val="clear"/>
        <w:rPr>
          <w:rFonts w:hint="default" w:ascii="Times New Roman" w:hAnsi="Times New Roman" w:cs="Times New Roman"/>
          <w:b/>
          <w:bCs/>
          <w:sz w:val="48"/>
          <w:szCs w:val="48"/>
          <w:highlight w:val="none"/>
          <w:lang w:eastAsia="zh-CN"/>
        </w:rPr>
      </w:pPr>
    </w:p>
    <w:p>
      <w:pPr>
        <w:shd w:val="clear"/>
        <w:rPr>
          <w:rFonts w:hint="default" w:ascii="Times New Roman" w:hAnsi="Times New Roman" w:cs="Times New Roman"/>
          <w:b/>
          <w:bCs/>
          <w:sz w:val="48"/>
          <w:szCs w:val="48"/>
          <w:highlight w:val="none"/>
          <w:lang w:eastAsia="zh-CN"/>
        </w:rPr>
      </w:pPr>
    </w:p>
    <w:p>
      <w:pPr>
        <w:shd w:val="clear"/>
        <w:rPr>
          <w:rFonts w:hint="default" w:ascii="Times New Roman" w:hAnsi="Times New Roman" w:cs="Times New Roman"/>
          <w:b/>
          <w:bCs/>
          <w:sz w:val="48"/>
          <w:szCs w:val="48"/>
          <w:highlight w:val="none"/>
          <w:lang w:eastAsia="zh-CN"/>
        </w:rPr>
      </w:pPr>
    </w:p>
    <w:p>
      <w:pPr>
        <w:shd w:val="clear"/>
        <w:spacing w:line="360" w:lineRule="auto"/>
        <w:jc w:val="center"/>
        <w:rPr>
          <w:rFonts w:hint="default" w:ascii="Times New Roman" w:hAnsi="Times New Roman" w:eastAsia="仿宋" w:cs="Times New Roman"/>
          <w:b/>
          <w:bCs/>
          <w:spacing w:val="-3"/>
          <w:sz w:val="28"/>
          <w:szCs w:val="28"/>
          <w:highlight w:val="none"/>
          <w:lang w:eastAsia="zh-CN"/>
        </w:rPr>
      </w:pPr>
      <w:r>
        <w:rPr>
          <w:rFonts w:hint="default" w:ascii="Times New Roman" w:hAnsi="Times New Roman" w:eastAsia="仿宋" w:cs="Times New Roman"/>
          <w:b/>
          <w:bCs/>
          <w:spacing w:val="-3"/>
          <w:sz w:val="28"/>
          <w:szCs w:val="28"/>
          <w:highlight w:val="none"/>
          <w:lang w:eastAsia="zh-CN"/>
        </w:rPr>
        <w:t>委托单位：</w:t>
      </w:r>
      <w:r>
        <w:rPr>
          <w:rFonts w:hint="eastAsia" w:cs="Times New Roman"/>
          <w:b/>
          <w:bCs/>
          <w:spacing w:val="-3"/>
          <w:sz w:val="28"/>
          <w:szCs w:val="28"/>
          <w:highlight w:val="none"/>
          <w:lang w:eastAsia="zh-CN"/>
        </w:rPr>
        <w:t>江苏金羚纤维素纤维有限公司</w:t>
      </w:r>
    </w:p>
    <w:p>
      <w:pPr>
        <w:shd w:val="clear"/>
        <w:spacing w:line="360" w:lineRule="auto"/>
        <w:jc w:val="center"/>
        <w:rPr>
          <w:rFonts w:hint="default" w:ascii="Times New Roman" w:hAnsi="Times New Roman" w:eastAsia="仿宋" w:cs="Times New Roman"/>
          <w:b/>
          <w:bCs/>
          <w:sz w:val="28"/>
          <w:szCs w:val="28"/>
          <w:highlight w:val="none"/>
          <w:lang w:eastAsia="zh-CN"/>
        </w:rPr>
      </w:pPr>
      <w:r>
        <w:rPr>
          <w:rFonts w:hint="default" w:ascii="Times New Roman" w:hAnsi="Times New Roman" w:eastAsia="仿宋" w:cs="Times New Roman"/>
          <w:b/>
          <w:bCs/>
          <w:spacing w:val="-3"/>
          <w:sz w:val="28"/>
          <w:szCs w:val="28"/>
          <w:highlight w:val="none"/>
          <w:lang w:eastAsia="zh-CN"/>
        </w:rPr>
        <w:t>编制单位：</w:t>
      </w:r>
      <w:r>
        <w:rPr>
          <w:rFonts w:hint="eastAsia" w:cs="Times New Roman"/>
          <w:b/>
          <w:bCs/>
          <w:spacing w:val="-3"/>
          <w:sz w:val="28"/>
          <w:szCs w:val="28"/>
          <w:highlight w:val="none"/>
          <w:lang w:eastAsia="zh-CN"/>
        </w:rPr>
        <w:t>江苏省优联检测技术服务有限公司</w:t>
      </w:r>
    </w:p>
    <w:p>
      <w:pPr>
        <w:shd w:val="clear"/>
        <w:spacing w:line="360" w:lineRule="auto"/>
        <w:jc w:val="center"/>
        <w:rPr>
          <w:rFonts w:hint="default" w:ascii="Times New Roman" w:hAnsi="Times New Roman" w:eastAsia="仿宋" w:cs="Times New Roman"/>
          <w:b/>
          <w:bCs/>
          <w:sz w:val="28"/>
          <w:szCs w:val="28"/>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 w:cs="Times New Roman"/>
          <w:b/>
          <w:bCs/>
          <w:sz w:val="28"/>
          <w:szCs w:val="28"/>
          <w:highlight w:val="none"/>
          <w:lang w:eastAsia="zh-CN"/>
        </w:rPr>
        <w:t>二〇二</w:t>
      </w:r>
      <w:r>
        <w:rPr>
          <w:rFonts w:hint="eastAsia" w:cs="Times New Roman"/>
          <w:b/>
          <w:bCs/>
          <w:sz w:val="28"/>
          <w:szCs w:val="28"/>
          <w:highlight w:val="none"/>
          <w:lang w:val="en-US" w:eastAsia="zh-CN"/>
        </w:rPr>
        <w:t>五</w:t>
      </w:r>
      <w:r>
        <w:rPr>
          <w:rFonts w:hint="default" w:ascii="Times New Roman" w:hAnsi="Times New Roman" w:eastAsia="仿宋" w:cs="Times New Roman"/>
          <w:b/>
          <w:bCs/>
          <w:sz w:val="28"/>
          <w:szCs w:val="28"/>
          <w:highlight w:val="none"/>
        </w:rPr>
        <w:t>年</w:t>
      </w:r>
      <w:r>
        <w:rPr>
          <w:rFonts w:hint="eastAsia" w:cs="Times New Roman"/>
          <w:b/>
          <w:bCs/>
          <w:sz w:val="28"/>
          <w:szCs w:val="28"/>
          <w:highlight w:val="none"/>
          <w:lang w:val="en-US" w:eastAsia="zh-CN"/>
        </w:rPr>
        <w:t>十一</w:t>
      </w:r>
      <w:r>
        <w:rPr>
          <w:rFonts w:hint="default" w:ascii="Times New Roman" w:hAnsi="Times New Roman" w:eastAsia="仿宋" w:cs="Times New Roman"/>
          <w:b/>
          <w:bCs/>
          <w:sz w:val="28"/>
          <w:szCs w:val="28"/>
          <w:highlight w:val="none"/>
        </w:rPr>
        <w:t>月</w:t>
      </w:r>
    </w:p>
    <w:p>
      <w:pPr>
        <w:shd w:val="clear"/>
        <w:spacing w:line="360" w:lineRule="auto"/>
        <w:jc w:val="center"/>
        <w:rPr>
          <w:rFonts w:hint="default" w:ascii="Times New Roman" w:hAnsi="Times New Roman" w:eastAsia="仿宋" w:cs="Times New Roman"/>
          <w:b/>
          <w:bCs/>
          <w:sz w:val="28"/>
          <w:szCs w:val="28"/>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Pr>
          <w:p>
            <w:pPr>
              <w:ind w:left="0" w:leftChars="0" w:firstLine="0" w:firstLineChars="0"/>
              <w:rPr>
                <w:rFonts w:hint="eastAsia"/>
                <w:b/>
                <w:bCs/>
                <w:vertAlign w:val="baseline"/>
              </w:rPr>
            </w:pPr>
            <w:r>
              <w:rPr>
                <w:rFonts w:hint="eastAsia"/>
                <w:b/>
                <w:bCs/>
              </w:rPr>
              <w:t>项目名称：</w:t>
            </w:r>
          </w:p>
        </w:tc>
        <w:tc>
          <w:tcPr>
            <w:tcW w:w="6577" w:type="dxa"/>
          </w:tcPr>
          <w:p>
            <w:pPr>
              <w:ind w:left="0" w:leftChars="0" w:firstLine="0" w:firstLineChars="0"/>
              <w:rPr>
                <w:rFonts w:hint="eastAsia"/>
                <w:vertAlign w:val="baseline"/>
              </w:rPr>
            </w:pPr>
            <w:r>
              <w:rPr>
                <w:rFonts w:hint="eastAsia"/>
              </w:rPr>
              <w:t>江苏金羚纤维素纤维有限公司土壤和地下水自行监测报告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Pr>
          <w:p>
            <w:pPr>
              <w:ind w:left="0" w:leftChars="0" w:firstLine="0" w:firstLineChars="0"/>
              <w:rPr>
                <w:rFonts w:hint="eastAsia"/>
                <w:b/>
                <w:bCs/>
                <w:vertAlign w:val="baseline"/>
              </w:rPr>
            </w:pPr>
            <w:r>
              <w:rPr>
                <w:rFonts w:hint="eastAsia"/>
                <w:b/>
                <w:bCs/>
              </w:rPr>
              <w:t>委托单位：</w:t>
            </w:r>
          </w:p>
        </w:tc>
        <w:tc>
          <w:tcPr>
            <w:tcW w:w="6577" w:type="dxa"/>
          </w:tcPr>
          <w:p>
            <w:pPr>
              <w:ind w:left="0" w:leftChars="0" w:firstLine="0" w:firstLineChars="0"/>
              <w:rPr>
                <w:rFonts w:hint="eastAsia"/>
                <w:vertAlign w:val="baseline"/>
              </w:rPr>
            </w:pPr>
            <w:r>
              <w:rPr>
                <w:rFonts w:hint="eastAsia"/>
              </w:rPr>
              <w:t>江苏金羚纤维素纤维有限公司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Pr>
          <w:p>
            <w:pPr>
              <w:ind w:left="0" w:leftChars="0" w:firstLine="0" w:firstLineChars="0"/>
              <w:rPr>
                <w:rFonts w:hint="eastAsia"/>
                <w:b/>
                <w:bCs/>
                <w:vertAlign w:val="baseline"/>
              </w:rPr>
            </w:pPr>
            <w:r>
              <w:rPr>
                <w:rFonts w:hint="eastAsia"/>
                <w:b/>
                <w:bCs/>
              </w:rPr>
              <w:t>报告编制单位：</w:t>
            </w:r>
          </w:p>
        </w:tc>
        <w:tc>
          <w:tcPr>
            <w:tcW w:w="6577" w:type="dxa"/>
          </w:tcPr>
          <w:p>
            <w:pPr>
              <w:ind w:left="0" w:leftChars="0" w:firstLine="0" w:firstLineChars="0"/>
              <w:rPr>
                <w:rFonts w:hint="default" w:eastAsia="仿宋"/>
                <w:vertAlign w:val="baseline"/>
                <w:lang w:val="en-US" w:eastAsia="zh-CN"/>
              </w:rPr>
            </w:pPr>
            <w:r>
              <w:rPr>
                <w:rFonts w:hint="eastAsia"/>
                <w:vertAlign w:val="baseline"/>
                <w:lang w:val="en-US" w:eastAsia="zh-CN"/>
              </w:rPr>
              <w:t>江苏省优联检测技术服务有限公司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Pr>
          <w:p>
            <w:pPr>
              <w:ind w:left="0" w:leftChars="0" w:firstLine="0" w:firstLineChars="0"/>
              <w:rPr>
                <w:rFonts w:hint="default" w:eastAsia="仿宋"/>
                <w:b/>
                <w:bCs/>
                <w:vertAlign w:val="baseline"/>
                <w:lang w:val="en-US" w:eastAsia="zh-CN"/>
              </w:rPr>
            </w:pPr>
            <w:r>
              <w:rPr>
                <w:rFonts w:hint="eastAsia"/>
                <w:b/>
                <w:bCs/>
                <w:vertAlign w:val="baseline"/>
                <w:lang w:val="en-US" w:eastAsia="zh-CN"/>
              </w:rPr>
              <w:t>检测单位：</w:t>
            </w:r>
          </w:p>
        </w:tc>
        <w:tc>
          <w:tcPr>
            <w:tcW w:w="6577" w:type="dxa"/>
          </w:tcPr>
          <w:p>
            <w:pPr>
              <w:ind w:left="0" w:leftChars="0" w:firstLine="0" w:firstLineChars="0"/>
              <w:rPr>
                <w:rFonts w:hint="eastAsia"/>
                <w:vertAlign w:val="baseline"/>
              </w:rPr>
            </w:pPr>
            <w:r>
              <w:rPr>
                <w:rFonts w:hint="eastAsia"/>
                <w:vertAlign w:val="baseline"/>
                <w:lang w:val="en-US" w:eastAsia="zh-CN"/>
              </w:rPr>
              <w:t>江苏省优联检测技术服务有限公司</w:t>
            </w:r>
          </w:p>
        </w:tc>
      </w:tr>
    </w:tbl>
    <w:p>
      <w:pPr>
        <w:ind w:left="0" w:leftChars="0" w:firstLine="0" w:firstLineChars="0"/>
        <w:rPr>
          <w:rFonts w:hint="eastAsia"/>
        </w:rPr>
      </w:pPr>
    </w:p>
    <w:p>
      <w:pPr>
        <w:sectPr>
          <w:pgSz w:w="11906" w:h="16838"/>
          <w:pgMar w:top="1440" w:right="1800" w:bottom="1440" w:left="1800" w:header="851" w:footer="992" w:gutter="0"/>
          <w:cols w:space="425" w:num="1"/>
          <w:docGrid w:type="lines" w:linePitch="312" w:charSpace="0"/>
        </w:sectPr>
      </w:pPr>
    </w:p>
    <w:p>
      <w:pPr>
        <w:pStyle w:val="2"/>
        <w:bidi w:val="0"/>
        <w:rPr>
          <w:rFonts w:hint="default"/>
        </w:rPr>
      </w:pPr>
      <w:bookmarkStart w:id="0" w:name="_Toc28402"/>
      <w:r>
        <w:rPr>
          <w:rFonts w:hint="eastAsia"/>
          <w:lang w:val="en-US" w:eastAsia="zh-CN"/>
        </w:rPr>
        <w:t>工作</w:t>
      </w:r>
      <w:bookmarkEnd w:id="0"/>
      <w:r>
        <w:rPr>
          <w:rFonts w:hint="eastAsia"/>
          <w:lang w:val="en-US" w:eastAsia="zh-CN"/>
        </w:rPr>
        <w:t>背景</w:t>
      </w:r>
    </w:p>
    <w:p>
      <w:pPr>
        <w:bidi w:val="0"/>
        <w:rPr>
          <w:rFonts w:hint="default"/>
          <w:lang w:eastAsia="zh-CN"/>
        </w:rPr>
      </w:pPr>
      <w:r>
        <w:rPr>
          <w:rFonts w:hint="default"/>
          <w:lang w:eastAsia="zh-CN"/>
        </w:rPr>
        <w:t>随着国家及社会对土壤和地下水环境问题日益重视，各项环境政策、资金投入为我国环境监测工作提供坚强后盾。土壤和地下水环境不仅关系到人类生存环境也决定着农产品的安全性，土壤和地下水污染问题是环境保护工作的重点关注部分，而土壤和地下水环境监测则是 环境监测、环境污染防治和管控工作的重要组成部分，土壤监测网络体系的建立，将对地方土质安全提供保障。《土壤污染防治行动计划》</w:t>
      </w:r>
      <w:r>
        <w:rPr>
          <w:rFonts w:hint="eastAsia"/>
          <w:lang w:eastAsia="zh-CN"/>
        </w:rPr>
        <w:t>（</w:t>
      </w:r>
      <w:r>
        <w:rPr>
          <w:rFonts w:hint="default"/>
          <w:lang w:eastAsia="zh-CN"/>
        </w:rPr>
        <w:t>国发</w:t>
      </w:r>
      <w:r>
        <w:rPr>
          <w:rFonts w:hint="eastAsia"/>
          <w:lang w:eastAsia="zh-CN"/>
        </w:rPr>
        <w:t>（</w:t>
      </w:r>
      <w:r>
        <w:rPr>
          <w:rFonts w:hint="default"/>
          <w:lang w:eastAsia="zh-CN"/>
        </w:rPr>
        <w:t>2016</w:t>
      </w:r>
      <w:r>
        <w:rPr>
          <w:rFonts w:hint="eastAsia"/>
          <w:lang w:eastAsia="zh-CN"/>
        </w:rPr>
        <w:t>）</w:t>
      </w:r>
      <w:r>
        <w:rPr>
          <w:rFonts w:hint="default"/>
          <w:lang w:eastAsia="zh-CN"/>
        </w:rPr>
        <w:t>31号</w:t>
      </w:r>
      <w:r>
        <w:rPr>
          <w:rFonts w:hint="eastAsia"/>
          <w:lang w:eastAsia="zh-CN"/>
        </w:rPr>
        <w:t>）</w:t>
      </w:r>
      <w:r>
        <w:rPr>
          <w:rFonts w:hint="default"/>
          <w:lang w:eastAsia="zh-CN"/>
        </w:rPr>
        <w:t>中提出：应加强污染源日常环境监管，做好土壤污染预防工作。各地要根据工矿企业分布和污染排放情况，确定土壤环境重点监管企业名单，实行动态更新，并向社会公布。列入名单的企业每年要自行对其用地进行土壤环境监测，结果向社会公开。有关环境保护部门要定期对重点监管企业和工业园区周边开展监测，数据及时上 传全国土壤环境信息化管理平台，结果作为环境执法和风险预警的重要依据。</w:t>
      </w:r>
    </w:p>
    <w:p>
      <w:pPr>
        <w:bidi w:val="0"/>
        <w:rPr>
          <w:rFonts w:hint="default"/>
          <w:lang w:eastAsia="zh-CN"/>
        </w:rPr>
      </w:pPr>
      <w:r>
        <w:rPr>
          <w:rFonts w:hint="default"/>
          <w:lang w:eastAsia="zh-CN"/>
        </w:rPr>
        <w:t>《土壤污染防治行动计划》的岀台，明确了企业对于土壤环境保护的主体责任，促使企业加强内部管理，将土壤污染防治纳入环境风险防控体系，严格依法、依规建设和运营污染治理设施，确保重点污染物稳定达标排放。开展企业用地土壤环境监测作为土壤污染环境风险防控的首要环节，对及时发现潜在污染，保障土壤及地下水质量安全具有重要的意义。</w:t>
      </w:r>
    </w:p>
    <w:p>
      <w:pPr>
        <w:bidi w:val="0"/>
        <w:rPr>
          <w:rFonts w:hint="default"/>
        </w:rPr>
      </w:pPr>
      <w:r>
        <w:rPr>
          <w:rFonts w:hint="default"/>
        </w:rPr>
        <w:t>为落实《国务院关于印发土壤污染防治行动计划的通知》(国发〔2016〕31号)、《江苏省土壤污染防治工作方案》（苏政发〔2016〕169号），规范和指导土壤环境重点监管企业开展土壤环境自行监测工作，根据《中华人民共和国环境保护法》、《土壤污染防治行动计划》，江苏省生态环境厅要求相关辖区环保局监督重点企业参照开展土壤环境自行监测工作，并将监测结果向社会公开。</w:t>
      </w:r>
    </w:p>
    <w:p>
      <w:r>
        <w:rPr>
          <w:rFonts w:hint="eastAsia"/>
          <w:lang w:eastAsia="zh-CN"/>
        </w:rPr>
        <w:t>江苏金羚纤维素纤维有限公司</w:t>
      </w:r>
      <w:r>
        <w:rPr>
          <w:rFonts w:hint="default"/>
        </w:rPr>
        <w:t>为提升土壤环境日常监管能力和手段，切实推进土壤污染防治工作，特委托</w:t>
      </w:r>
      <w:r>
        <w:rPr>
          <w:rFonts w:hint="eastAsia"/>
          <w:lang w:eastAsia="zh-CN"/>
        </w:rPr>
        <w:t>江苏省优联检测技术服务有限公司</w:t>
      </w:r>
      <w:r>
        <w:rPr>
          <w:rFonts w:hint="default"/>
        </w:rPr>
        <w:t>对其企业所在场地进行</w:t>
      </w:r>
      <w:r>
        <w:rPr>
          <w:rFonts w:hint="eastAsia"/>
          <w:lang w:val="en-US" w:eastAsia="zh-CN"/>
        </w:rPr>
        <w:t>现场勘察，并编制了《江苏金羚纤维素纤维有限公司土壤和地下水自行监测报告》</w:t>
      </w:r>
      <w:r>
        <w:rPr>
          <w:rFonts w:hint="default"/>
        </w:rPr>
        <w:t>。</w:t>
      </w:r>
    </w:p>
    <w:p>
      <w:pPr>
        <w:pStyle w:val="2"/>
        <w:bidi w:val="0"/>
        <w:rPr>
          <w:rFonts w:hint="default"/>
          <w:lang w:eastAsia="zh-CN"/>
        </w:rPr>
      </w:pPr>
      <w:bookmarkStart w:id="1" w:name="_Toc982"/>
      <w:r>
        <w:rPr>
          <w:rFonts w:hint="default"/>
          <w:lang w:val="en-US" w:eastAsia="zh-CN"/>
        </w:rPr>
        <w:t>企业概况</w:t>
      </w:r>
      <w:bookmarkEnd w:id="1"/>
    </w:p>
    <w:p>
      <w:pPr>
        <w:bidi w:val="0"/>
        <w:ind w:left="0" w:leftChars="0" w:firstLine="560" w:firstLineChars="200"/>
        <w:rPr>
          <w:rFonts w:hint="default"/>
        </w:rPr>
      </w:pPr>
      <w:r>
        <w:rPr>
          <w:rFonts w:hint="default"/>
        </w:rPr>
        <w:t>江苏金羚纤维素纤维有限公司原称“江苏金维卡纤维有限公司”，是由南京维卡纤维有限公司和香港金汇投资发展有限公司2006年共同组建，前身是大丰县化纤厂，主要从事棉浆粕生产，已于2013年停产。2015年10月，江苏金维卡纤维有限公司将设备、资产转让给江苏金羚纸业有限公司，并于2016年6月16日办理名称变更，由“江苏金羚纸业有限公司”变更为“江苏金羚纤维素纤维有限公司”。金羚纤维素位于江苏省盐城市大丰区王港闸南首，厂区占地1300.51亩，全厂职工403人，全年生产300天，年工作时间7200小时，具有年产8万吨差别化粘胶短纤维的生产能力。</w:t>
      </w:r>
    </w:p>
    <w:p>
      <w:pPr>
        <w:rPr>
          <w:rFonts w:hint="eastAsia"/>
          <w:lang w:eastAsia="zh-CN"/>
        </w:rPr>
      </w:pPr>
      <w:r>
        <w:rPr>
          <w:rFonts w:hint="default"/>
        </w:rPr>
        <w:t>金羚纤维素公司位于江苏省盐城市大丰区王港闸南首，统一社会信用代码：9132098274247685XK</w:t>
      </w:r>
      <w:r>
        <w:rPr>
          <w:rFonts w:hint="eastAsia"/>
          <w:lang w:eastAsia="zh-CN"/>
        </w:rPr>
        <w:t>。</w:t>
      </w:r>
    </w:p>
    <w:p>
      <w:pPr>
        <w:pStyle w:val="2"/>
        <w:bidi w:val="0"/>
        <w:rPr>
          <w:rFonts w:hint="default"/>
        </w:rPr>
      </w:pPr>
      <w:bookmarkStart w:id="2" w:name="_Toc6336"/>
      <w:bookmarkStart w:id="3" w:name="_Toc8787"/>
      <w:bookmarkStart w:id="4" w:name="_Toc8550"/>
      <w:bookmarkStart w:id="5" w:name="_Toc6645"/>
      <w:bookmarkStart w:id="6" w:name="_Toc18620"/>
      <w:bookmarkStart w:id="7" w:name="_Toc21091"/>
      <w:r>
        <w:rPr>
          <w:rFonts w:hint="eastAsia"/>
          <w:lang w:val="en-US" w:eastAsia="zh-CN"/>
        </w:rPr>
        <w:t>监测</w:t>
      </w:r>
      <w:r>
        <w:rPr>
          <w:rFonts w:hint="default"/>
        </w:rPr>
        <w:t>结论</w:t>
      </w:r>
      <w:bookmarkEnd w:id="2"/>
      <w:bookmarkEnd w:id="3"/>
      <w:bookmarkEnd w:id="4"/>
      <w:bookmarkEnd w:id="5"/>
      <w:bookmarkEnd w:id="6"/>
      <w:bookmarkEnd w:id="7"/>
    </w:p>
    <w:p>
      <w:pPr>
        <w:bidi w:val="0"/>
        <w:rPr>
          <w:lang w:eastAsia="zh-CN"/>
        </w:rPr>
      </w:pPr>
      <w:r>
        <w:rPr>
          <w:rFonts w:hint="eastAsia"/>
          <w:lang w:val="en-US" w:eastAsia="zh-CN"/>
        </w:rPr>
        <w:t>按照</w:t>
      </w:r>
      <w:r>
        <w:rPr>
          <w:rFonts w:hint="default"/>
          <w:lang w:eastAsia="zh-CN"/>
        </w:rPr>
        <w:t>《</w:t>
      </w:r>
      <w:r>
        <w:rPr>
          <w:rFonts w:hint="eastAsia"/>
          <w:lang w:val="en-US" w:eastAsia="zh-CN"/>
        </w:rPr>
        <w:t>工业企业土壤和地下水自行监测技术指南</w:t>
      </w:r>
      <w:r>
        <w:rPr>
          <w:rFonts w:hint="default"/>
          <w:lang w:eastAsia="zh-CN"/>
        </w:rPr>
        <w:t>》</w:t>
      </w:r>
      <w:r>
        <w:rPr>
          <w:rFonts w:hint="eastAsia"/>
          <w:lang w:eastAsia="zh-CN"/>
        </w:rPr>
        <w:t>（</w:t>
      </w:r>
      <w:r>
        <w:rPr>
          <w:rFonts w:hint="eastAsia"/>
          <w:lang w:val="en-US" w:eastAsia="zh-CN"/>
        </w:rPr>
        <w:t>试行</w:t>
      </w:r>
      <w:r>
        <w:rPr>
          <w:rFonts w:hint="eastAsia"/>
          <w:lang w:eastAsia="zh-CN"/>
        </w:rPr>
        <w:t>）</w:t>
      </w:r>
      <w:r>
        <w:rPr>
          <w:rFonts w:hint="default"/>
          <w:lang w:eastAsia="zh-CN"/>
        </w:rPr>
        <w:t>等相关技术规范的要求排查企业内有潜在土壤污染隐患的重点场所及重点设施设备，将其可能通过渗漏、流失、扬散等途径导致土壤或地下水污染的场所或设施设备识别为重点监测单元</w:t>
      </w:r>
      <w:r>
        <w:rPr>
          <w:rFonts w:hint="eastAsia"/>
          <w:lang w:eastAsia="zh-CN"/>
        </w:rPr>
        <w:t>，</w:t>
      </w:r>
      <w:r>
        <w:rPr>
          <w:rFonts w:hint="eastAsia"/>
          <w:lang w:val="en-US" w:eastAsia="zh-CN"/>
        </w:rPr>
        <w:t>开展土壤和地下水监测工作。</w:t>
      </w:r>
    </w:p>
    <w:p>
      <w:pPr>
        <w:bidi w:val="0"/>
        <w:rPr>
          <w:rFonts w:hint="default"/>
          <w:lang w:val="en-US" w:eastAsia="zh-CN"/>
        </w:rPr>
      </w:pPr>
      <w:r>
        <w:rPr>
          <w:rFonts w:hint="default"/>
          <w:lang w:eastAsia="zh-CN"/>
        </w:rPr>
        <w:t>根据资料总结和现场踏勘结果，将厂区分为</w:t>
      </w:r>
      <w:r>
        <w:rPr>
          <w:rFonts w:hint="eastAsia"/>
          <w:lang w:val="en-US" w:eastAsia="zh-CN"/>
        </w:rPr>
        <w:t>33</w:t>
      </w:r>
      <w:r>
        <w:rPr>
          <w:rFonts w:hint="default"/>
          <w:lang w:eastAsia="zh-CN"/>
        </w:rPr>
        <w:t>个</w:t>
      </w:r>
      <w:r>
        <w:rPr>
          <w:rFonts w:hint="eastAsia"/>
          <w:lang w:val="en-US" w:eastAsia="zh-CN"/>
        </w:rPr>
        <w:t>单元</w:t>
      </w:r>
      <w:r>
        <w:rPr>
          <w:rFonts w:hint="eastAsia"/>
          <w:lang w:eastAsia="zh-CN"/>
        </w:rPr>
        <w:t>，</w:t>
      </w:r>
      <w:r>
        <w:rPr>
          <w:rFonts w:hint="eastAsia"/>
          <w:lang w:val="en-US" w:eastAsia="zh-CN"/>
        </w:rPr>
        <w:t>单元A-GG。</w:t>
      </w:r>
    </w:p>
    <w:p>
      <w:pPr>
        <w:bidi w:val="0"/>
        <w:rPr>
          <w:rFonts w:hint="eastAsia"/>
          <w:lang w:eastAsia="zh-CN"/>
        </w:rPr>
      </w:pPr>
      <w:r>
        <w:rPr>
          <w:rFonts w:hint="default"/>
          <w:lang w:eastAsia="zh-CN"/>
        </w:rPr>
        <w:t>本次土壤及地下水自行监测共布设了</w:t>
      </w:r>
      <w:r>
        <w:rPr>
          <w:rFonts w:hint="eastAsia"/>
          <w:lang w:val="en-US" w:eastAsia="zh-CN"/>
        </w:rPr>
        <w:t>57</w:t>
      </w:r>
      <w:r>
        <w:rPr>
          <w:rFonts w:hint="default"/>
          <w:lang w:eastAsia="zh-CN"/>
        </w:rPr>
        <w:t>个土壤采样点和</w:t>
      </w:r>
      <w:r>
        <w:rPr>
          <w:rFonts w:hint="eastAsia"/>
          <w:lang w:val="en-US" w:eastAsia="zh-CN"/>
        </w:rPr>
        <w:t>36</w:t>
      </w:r>
      <w:r>
        <w:rPr>
          <w:rFonts w:hint="default"/>
          <w:lang w:eastAsia="zh-CN"/>
        </w:rPr>
        <w:t>个地下水采样点</w:t>
      </w:r>
      <w:r>
        <w:rPr>
          <w:rFonts w:hint="eastAsia"/>
          <w:lang w:eastAsia="zh-CN"/>
        </w:rPr>
        <w:t>，</w:t>
      </w:r>
      <w:r>
        <w:rPr>
          <w:rFonts w:hint="eastAsia"/>
          <w:lang w:val="en-US" w:eastAsia="zh-CN"/>
        </w:rPr>
        <w:t>另</w:t>
      </w:r>
      <w:r>
        <w:rPr>
          <w:rFonts w:hint="default"/>
          <w:lang w:eastAsia="zh-CN"/>
        </w:rPr>
        <w:t>外布设</w:t>
      </w:r>
      <w:r>
        <w:rPr>
          <w:rFonts w:hint="eastAsia"/>
          <w:lang w:val="en-US" w:eastAsia="zh-CN"/>
        </w:rPr>
        <w:t>1</w:t>
      </w:r>
      <w:r>
        <w:rPr>
          <w:rFonts w:hint="default"/>
          <w:lang w:eastAsia="zh-CN"/>
        </w:rPr>
        <w:t>个土壤对照点和</w:t>
      </w:r>
      <w:r>
        <w:rPr>
          <w:rFonts w:hint="eastAsia"/>
          <w:lang w:val="en-US" w:eastAsia="zh-CN"/>
        </w:rPr>
        <w:t>1</w:t>
      </w:r>
      <w:r>
        <w:rPr>
          <w:rFonts w:hint="default"/>
          <w:lang w:eastAsia="zh-CN"/>
        </w:rPr>
        <w:t>个地下水对照点</w:t>
      </w:r>
      <w:r>
        <w:rPr>
          <w:rFonts w:hint="eastAsia"/>
          <w:lang w:eastAsia="zh-CN"/>
        </w:rPr>
        <w:t>。</w:t>
      </w:r>
    </w:p>
    <w:p>
      <w:pPr>
        <w:bidi w:val="0"/>
        <w:rPr>
          <w:rFonts w:hint="default"/>
          <w:lang w:val="en-US" w:eastAsia="zh-CN"/>
        </w:rPr>
      </w:pPr>
      <w:r>
        <w:rPr>
          <w:rFonts w:hint="default"/>
          <w:b/>
          <w:bCs/>
          <w:lang w:val="en-US" w:eastAsia="zh-CN"/>
        </w:rPr>
        <w:t>土壤监测因子</w:t>
      </w:r>
      <w:r>
        <w:rPr>
          <w:rFonts w:hint="default"/>
          <w:lang w:val="en-US" w:eastAsia="zh-CN"/>
        </w:rPr>
        <w:t>：</w:t>
      </w:r>
      <w:r>
        <w:rPr>
          <w:rFonts w:hint="eastAsia"/>
          <w:lang w:val="en-US" w:eastAsia="zh-CN"/>
        </w:rPr>
        <w:t>pH、锌、汞、石油烃（C</w:t>
      </w:r>
      <w:r>
        <w:rPr>
          <w:rFonts w:hint="eastAsia"/>
          <w:vertAlign w:val="subscript"/>
          <w:lang w:val="en-US" w:eastAsia="zh-CN"/>
        </w:rPr>
        <w:t>10</w:t>
      </w:r>
      <w:r>
        <w:rPr>
          <w:rFonts w:hint="eastAsia"/>
          <w:lang w:val="en-US" w:eastAsia="zh-CN"/>
        </w:rPr>
        <w:t>-C</w:t>
      </w:r>
      <w:r>
        <w:rPr>
          <w:rFonts w:hint="eastAsia"/>
          <w:vertAlign w:val="subscript"/>
          <w:lang w:val="en-US" w:eastAsia="zh-CN"/>
        </w:rPr>
        <w:t>40</w:t>
      </w:r>
      <w:r>
        <w:rPr>
          <w:rFonts w:hint="eastAsia"/>
          <w:lang w:val="en-US" w:eastAsia="zh-CN"/>
        </w:rPr>
        <w:t>）；CT2、ST1、DZT13点位加测二噁英，DZT1、ST12加测二硫化碳。</w:t>
      </w:r>
    </w:p>
    <w:p>
      <w:pPr>
        <w:bidi w:val="0"/>
        <w:rPr>
          <w:rFonts w:hint="eastAsia"/>
          <w:lang w:eastAsia="zh-CN"/>
        </w:rPr>
      </w:pPr>
      <w:r>
        <w:rPr>
          <w:rFonts w:hint="default"/>
          <w:b/>
          <w:bCs/>
          <w:lang w:eastAsia="zh-CN"/>
        </w:rPr>
        <w:t>地下水监测因子</w:t>
      </w:r>
      <w:r>
        <w:rPr>
          <w:rFonts w:hint="default"/>
          <w:lang w:eastAsia="zh-CN"/>
        </w:rPr>
        <w:t>：pH值、耗氧量、氨氮、总磷、硫化物、悬浮物、总氮、硝酸盐、亚硝酸盐、硫酸盐、二硫化碳、AOX、浊度</w:t>
      </w:r>
      <w:r>
        <w:rPr>
          <w:rFonts w:hint="eastAsia"/>
          <w:lang w:eastAsia="zh-CN"/>
        </w:rPr>
        <w:t>；</w:t>
      </w:r>
      <w:r>
        <w:rPr>
          <w:rFonts w:hint="eastAsia"/>
          <w:lang w:val="en-US" w:eastAsia="zh-CN"/>
        </w:rPr>
        <w:t>部分点位加测</w:t>
      </w:r>
      <w:r>
        <w:rPr>
          <w:rFonts w:hint="eastAsia"/>
          <w:lang w:eastAsia="zh-CN"/>
        </w:rPr>
        <w:t>总硬度、溶解性总固体、色度、嗅和味、钠、氯化物、石油烃（C</w:t>
      </w:r>
      <w:r>
        <w:rPr>
          <w:rFonts w:hint="eastAsia"/>
          <w:vertAlign w:val="subscript"/>
          <w:lang w:eastAsia="zh-CN"/>
        </w:rPr>
        <w:t>10</w:t>
      </w:r>
      <w:r>
        <w:rPr>
          <w:rFonts w:hint="eastAsia"/>
          <w:lang w:eastAsia="zh-CN"/>
        </w:rPr>
        <w:t>-C</w:t>
      </w:r>
      <w:r>
        <w:rPr>
          <w:rFonts w:hint="eastAsia"/>
          <w:vertAlign w:val="subscript"/>
          <w:lang w:eastAsia="zh-CN"/>
        </w:rPr>
        <w:t>40</w:t>
      </w:r>
      <w:r>
        <w:rPr>
          <w:rFonts w:hint="eastAsia"/>
          <w:lang w:eastAsia="zh-CN"/>
        </w:rPr>
        <w:t>）。</w:t>
      </w:r>
    </w:p>
    <w:p>
      <w:pPr>
        <w:bidi w:val="0"/>
        <w:rPr>
          <w:rFonts w:hint="eastAsia" w:ascii="Times New Roman" w:hAnsi="Times New Roman" w:cs="Times New Roman"/>
          <w:b/>
          <w:bCs/>
          <w:szCs w:val="28"/>
          <w:highlight w:val="none"/>
          <w:lang w:val="en-US" w:eastAsia="zh-CN"/>
        </w:rPr>
      </w:pPr>
      <w:r>
        <w:rPr>
          <w:rFonts w:hint="eastAsia" w:ascii="Times New Roman" w:hAnsi="Times New Roman" w:cs="Times New Roman"/>
          <w:b/>
          <w:bCs/>
          <w:szCs w:val="28"/>
          <w:highlight w:val="none"/>
          <w:lang w:val="en-US" w:eastAsia="zh-CN"/>
        </w:rPr>
        <w:t>土壤监测结论：</w:t>
      </w:r>
    </w:p>
    <w:p>
      <w:pPr>
        <w:bidi w:val="0"/>
        <w:rPr>
          <w:rFonts w:hint="eastAsia" w:ascii="Times New Roman" w:hAnsi="Times New Roman" w:cs="Times New Roman"/>
          <w:b w:val="0"/>
          <w:bCs w:val="0"/>
          <w:szCs w:val="28"/>
          <w:highlight w:val="none"/>
          <w:lang w:val="en-US" w:eastAsia="zh-CN"/>
        </w:rPr>
      </w:pPr>
      <w:r>
        <w:rPr>
          <w:rFonts w:hint="eastAsia" w:ascii="Times New Roman" w:hAnsi="Times New Roman" w:cs="Times New Roman"/>
          <w:b w:val="0"/>
          <w:bCs w:val="0"/>
          <w:szCs w:val="28"/>
          <w:highlight w:val="none"/>
          <w:lang w:val="en-US" w:eastAsia="zh-CN"/>
        </w:rPr>
        <w:t>本次调查采集的土壤样品中pH值为7.85-11.00，二硫化碳未检出，检出因子中均未超过《土壤环境质量建设用地土壤污染风险管控标准（试行）》（GB 36600-2018）第二类用地筛选值。</w:t>
      </w:r>
    </w:p>
    <w:p>
      <w:pPr>
        <w:bidi w:val="0"/>
        <w:rPr>
          <w:rFonts w:hint="eastAsia"/>
          <w:b/>
          <w:bCs/>
          <w:lang w:val="en-US" w:eastAsia="zh-CN"/>
        </w:rPr>
      </w:pPr>
      <w:r>
        <w:rPr>
          <w:rFonts w:hint="eastAsia"/>
          <w:b/>
          <w:bCs/>
          <w:lang w:val="en-US" w:eastAsia="zh-CN"/>
        </w:rPr>
        <w:t>地下水监测结论：</w:t>
      </w:r>
    </w:p>
    <w:p>
      <w:pPr>
        <w:pStyle w:val="4"/>
        <w:ind w:firstLine="554"/>
        <w:rPr>
          <w:rFonts w:hint="default" w:ascii="Times New Roman" w:hAnsi="Times New Roman" w:eastAsia="仿宋" w:cs="Times New Roman"/>
          <w:sz w:val="28"/>
          <w:szCs w:val="28"/>
          <w:highlight w:val="none"/>
          <w:lang w:eastAsia="zh-CN"/>
        </w:rPr>
      </w:pPr>
      <w:r>
        <w:rPr>
          <w:rFonts w:hint="eastAsia" w:cs="Times New Roman"/>
          <w:spacing w:val="-3"/>
          <w:szCs w:val="28"/>
          <w:lang w:val="en-US" w:eastAsia="zh-CN"/>
        </w:rPr>
        <w:t>第一批次采集地下水样品中，</w:t>
      </w:r>
      <w:r>
        <w:rPr>
          <w:rFonts w:hint="eastAsia" w:cs="Times New Roman"/>
          <w:b/>
          <w:bCs/>
          <w:spacing w:val="-3"/>
          <w:szCs w:val="28"/>
          <w:lang w:val="en-US" w:eastAsia="zh-CN"/>
        </w:rPr>
        <w:t>浊度、总硬度、溶解性总固体、耗氧量、氨氮、硫酸盐、硫化物、钠、C</w:t>
      </w:r>
      <w:r>
        <w:rPr>
          <w:rFonts w:hint="eastAsia" w:cs="Times New Roman"/>
          <w:b/>
          <w:bCs/>
          <w:spacing w:val="-3"/>
          <w:szCs w:val="28"/>
          <w:vertAlign w:val="subscript"/>
          <w:lang w:val="en-US" w:eastAsia="zh-CN"/>
        </w:rPr>
        <w:t>10</w:t>
      </w:r>
      <w:r>
        <w:rPr>
          <w:rFonts w:hint="eastAsia" w:cs="Times New Roman"/>
          <w:b/>
          <w:bCs/>
          <w:spacing w:val="-3"/>
          <w:szCs w:val="28"/>
          <w:lang w:val="en-US" w:eastAsia="zh-CN"/>
        </w:rPr>
        <w:t>-C</w:t>
      </w:r>
      <w:r>
        <w:rPr>
          <w:rFonts w:hint="eastAsia" w:cs="Times New Roman"/>
          <w:b/>
          <w:bCs/>
          <w:spacing w:val="-3"/>
          <w:szCs w:val="28"/>
          <w:vertAlign w:val="subscript"/>
          <w:lang w:val="en-US" w:eastAsia="zh-CN"/>
        </w:rPr>
        <w:t>40</w:t>
      </w:r>
      <w:r>
        <w:rPr>
          <w:rFonts w:hint="eastAsia" w:cs="Times New Roman"/>
          <w:b/>
          <w:bCs/>
          <w:spacing w:val="-3"/>
          <w:szCs w:val="28"/>
          <w:vertAlign w:val="baseline"/>
          <w:lang w:val="en-US" w:eastAsia="zh-CN"/>
        </w:rPr>
        <w:t>、氯化物、臭和味、色度</w:t>
      </w:r>
      <w:r>
        <w:rPr>
          <w:rFonts w:hint="eastAsia" w:ascii="Times New Roman" w:hAnsi="Times New Roman" w:cs="Times New Roman"/>
          <w:spacing w:val="-3"/>
          <w:szCs w:val="28"/>
          <w:lang w:val="en-US" w:eastAsia="zh-CN"/>
        </w:rPr>
        <w:t>超过</w:t>
      </w:r>
      <w:r>
        <w:rPr>
          <w:rFonts w:hint="default" w:ascii="Times New Roman" w:hAnsi="Times New Roman" w:eastAsia="仿宋" w:cs="Times New Roman"/>
          <w:bCs/>
          <w:sz w:val="28"/>
          <w:szCs w:val="28"/>
          <w:highlight w:val="none"/>
          <w:lang w:eastAsia="zh-CN"/>
        </w:rPr>
        <w:t>《地下水质量标准》（GB14848-2017）IV类水标准</w:t>
      </w:r>
      <w:r>
        <w:rPr>
          <w:rFonts w:hint="eastAsia" w:cs="Times New Roman"/>
          <w:bCs/>
          <w:sz w:val="28"/>
          <w:szCs w:val="28"/>
          <w:highlight w:val="none"/>
          <w:lang w:val="en-US" w:eastAsia="zh-CN"/>
        </w:rPr>
        <w:t>限值</w:t>
      </w:r>
      <w:r>
        <w:rPr>
          <w:rFonts w:hint="default" w:ascii="Times New Roman" w:hAnsi="Times New Roman" w:eastAsia="仿宋" w:cs="Times New Roman"/>
          <w:sz w:val="28"/>
          <w:szCs w:val="28"/>
          <w:highlight w:val="none"/>
          <w:lang w:eastAsia="zh-CN"/>
        </w:rPr>
        <w:t>。</w:t>
      </w:r>
    </w:p>
    <w:p>
      <w:pPr>
        <w:pStyle w:val="4"/>
        <w:ind w:firstLine="554"/>
        <w:rPr>
          <w:rFonts w:hint="default" w:ascii="Times New Roman" w:hAnsi="Times New Roman" w:eastAsia="仿宋" w:cs="Times New Roman"/>
          <w:sz w:val="28"/>
          <w:szCs w:val="28"/>
          <w:highlight w:val="none"/>
          <w:lang w:eastAsia="zh-CN"/>
        </w:rPr>
      </w:pPr>
      <w:r>
        <w:rPr>
          <w:rFonts w:hint="eastAsia" w:cs="Times New Roman"/>
          <w:sz w:val="28"/>
          <w:szCs w:val="28"/>
          <w:highlight w:val="none"/>
          <w:lang w:val="en-US" w:eastAsia="zh-CN"/>
        </w:rPr>
        <w:t>第二批次采集地下水样品中，</w:t>
      </w:r>
      <w:r>
        <w:rPr>
          <w:rFonts w:hint="eastAsia" w:cs="Times New Roman"/>
          <w:b/>
          <w:bCs/>
          <w:spacing w:val="-3"/>
          <w:szCs w:val="28"/>
          <w:lang w:val="en-US" w:eastAsia="zh-CN"/>
        </w:rPr>
        <w:t>浊度、总硬度</w:t>
      </w:r>
      <w:r>
        <w:rPr>
          <w:rFonts w:hint="eastAsia" w:cs="Times New Roman"/>
          <w:spacing w:val="-3"/>
          <w:szCs w:val="28"/>
          <w:lang w:val="en-US" w:eastAsia="zh-CN"/>
        </w:rPr>
        <w:t>、</w:t>
      </w:r>
      <w:r>
        <w:rPr>
          <w:rFonts w:hint="eastAsia" w:cs="Times New Roman"/>
          <w:b/>
          <w:bCs/>
          <w:spacing w:val="-3"/>
          <w:szCs w:val="28"/>
          <w:lang w:val="en-US" w:eastAsia="zh-CN"/>
        </w:rPr>
        <w:t>溶解性总固体</w:t>
      </w:r>
      <w:r>
        <w:rPr>
          <w:rFonts w:hint="eastAsia" w:cs="Times New Roman"/>
          <w:spacing w:val="-3"/>
          <w:szCs w:val="28"/>
          <w:lang w:val="en-US" w:eastAsia="zh-CN"/>
        </w:rPr>
        <w:t>、</w:t>
      </w:r>
      <w:r>
        <w:rPr>
          <w:rFonts w:hint="eastAsia" w:cs="Times New Roman"/>
          <w:b/>
          <w:bCs/>
          <w:spacing w:val="-3"/>
          <w:szCs w:val="28"/>
          <w:lang w:val="en-US" w:eastAsia="zh-CN"/>
        </w:rPr>
        <w:t>耗氧量</w:t>
      </w:r>
      <w:r>
        <w:rPr>
          <w:rFonts w:hint="eastAsia" w:cs="Times New Roman"/>
          <w:spacing w:val="-3"/>
          <w:szCs w:val="28"/>
          <w:lang w:val="en-US" w:eastAsia="zh-CN"/>
        </w:rPr>
        <w:t>、</w:t>
      </w:r>
      <w:r>
        <w:rPr>
          <w:rFonts w:hint="eastAsia" w:cs="Times New Roman"/>
          <w:b/>
          <w:bCs/>
          <w:spacing w:val="-3"/>
          <w:szCs w:val="28"/>
          <w:lang w:val="en-US" w:eastAsia="zh-CN"/>
        </w:rPr>
        <w:t>氨氮</w:t>
      </w:r>
      <w:r>
        <w:rPr>
          <w:rFonts w:hint="eastAsia" w:cs="Times New Roman"/>
          <w:spacing w:val="-3"/>
          <w:szCs w:val="28"/>
          <w:lang w:val="en-US" w:eastAsia="zh-CN"/>
        </w:rPr>
        <w:t>、</w:t>
      </w:r>
      <w:r>
        <w:rPr>
          <w:rFonts w:hint="eastAsia" w:cs="Times New Roman"/>
          <w:b/>
          <w:bCs/>
          <w:spacing w:val="-3"/>
          <w:szCs w:val="28"/>
          <w:lang w:val="en-US" w:eastAsia="zh-CN"/>
        </w:rPr>
        <w:t>硫酸盐</w:t>
      </w:r>
      <w:r>
        <w:rPr>
          <w:rFonts w:hint="eastAsia" w:cs="Times New Roman"/>
          <w:spacing w:val="-3"/>
          <w:szCs w:val="28"/>
          <w:lang w:val="en-US" w:eastAsia="zh-CN"/>
        </w:rPr>
        <w:t>、</w:t>
      </w:r>
      <w:r>
        <w:rPr>
          <w:rFonts w:hint="eastAsia" w:cs="Times New Roman"/>
          <w:b/>
          <w:bCs/>
          <w:spacing w:val="-3"/>
          <w:szCs w:val="28"/>
          <w:lang w:val="en-US" w:eastAsia="zh-CN"/>
        </w:rPr>
        <w:t>钠</w:t>
      </w:r>
      <w:r>
        <w:rPr>
          <w:rFonts w:hint="eastAsia" w:cs="Times New Roman"/>
          <w:spacing w:val="-3"/>
          <w:szCs w:val="28"/>
          <w:vertAlign w:val="baseline"/>
          <w:lang w:val="en-US" w:eastAsia="zh-CN"/>
        </w:rPr>
        <w:t>、</w:t>
      </w:r>
      <w:r>
        <w:rPr>
          <w:rFonts w:hint="eastAsia" w:cs="Times New Roman"/>
          <w:b/>
          <w:bCs/>
          <w:spacing w:val="-3"/>
          <w:szCs w:val="28"/>
          <w:vertAlign w:val="baseline"/>
          <w:lang w:val="en-US" w:eastAsia="zh-CN"/>
        </w:rPr>
        <w:t>氯化物、臭和味</w:t>
      </w:r>
      <w:r>
        <w:rPr>
          <w:rFonts w:hint="eastAsia" w:ascii="Times New Roman" w:hAnsi="Times New Roman" w:cs="Times New Roman"/>
          <w:spacing w:val="-3"/>
          <w:szCs w:val="28"/>
          <w:lang w:val="en-US" w:eastAsia="zh-CN"/>
        </w:rPr>
        <w:t>超过</w:t>
      </w:r>
      <w:r>
        <w:rPr>
          <w:rFonts w:hint="default" w:ascii="Times New Roman" w:hAnsi="Times New Roman" w:eastAsia="仿宋" w:cs="Times New Roman"/>
          <w:bCs/>
          <w:sz w:val="28"/>
          <w:szCs w:val="28"/>
          <w:highlight w:val="none"/>
          <w:lang w:eastAsia="zh-CN"/>
        </w:rPr>
        <w:t>《地下水质量标准》（GB14848-2017）IV类水标准</w:t>
      </w:r>
      <w:r>
        <w:rPr>
          <w:rFonts w:hint="eastAsia" w:cs="Times New Roman"/>
          <w:bCs/>
          <w:sz w:val="28"/>
          <w:szCs w:val="28"/>
          <w:highlight w:val="none"/>
          <w:lang w:val="en-US" w:eastAsia="zh-CN"/>
        </w:rPr>
        <w:t>限值</w:t>
      </w:r>
      <w:r>
        <w:rPr>
          <w:rFonts w:hint="default" w:ascii="Times New Roman" w:hAnsi="Times New Roman" w:eastAsia="仿宋" w:cs="Times New Roman"/>
          <w:sz w:val="28"/>
          <w:szCs w:val="28"/>
          <w:highlight w:val="none"/>
          <w:lang w:eastAsia="zh-CN"/>
        </w:rPr>
        <w:t>。</w:t>
      </w:r>
    </w:p>
    <w:p>
      <w:pPr>
        <w:spacing w:line="360" w:lineRule="auto"/>
        <w:ind w:firstLine="560" w:firstLineChars="200"/>
        <w:jc w:val="left"/>
        <w:rPr>
          <w:rFonts w:hint="default" w:eastAsia="仿宋" w:cs="Times New Roman"/>
          <w:b w:val="0"/>
          <w:bCs/>
          <w:sz w:val="28"/>
          <w:szCs w:val="28"/>
          <w:lang w:val="en-US" w:eastAsia="zh-CN"/>
        </w:rPr>
      </w:pPr>
      <w:r>
        <w:rPr>
          <w:rFonts w:hint="eastAsia" w:cs="Times New Roman"/>
          <w:b w:val="0"/>
          <w:bCs/>
          <w:sz w:val="28"/>
          <w:szCs w:val="28"/>
          <w:lang w:val="en-US" w:eastAsia="zh-CN"/>
        </w:rPr>
        <w:t>本次调查对比2024年调查数据无异常变化，2024年</w:t>
      </w:r>
      <w:r>
        <w:rPr>
          <w:rFonts w:hint="default" w:eastAsia="仿宋"/>
          <w:lang w:val="en-US" w:eastAsia="zh-CN"/>
        </w:rPr>
        <w:t>有1</w:t>
      </w:r>
      <w:r>
        <w:rPr>
          <w:rFonts w:hint="eastAsia"/>
          <w:lang w:val="en-US" w:eastAsia="zh-CN"/>
        </w:rPr>
        <w:t>2</w:t>
      </w:r>
      <w:r>
        <w:rPr>
          <w:rFonts w:hint="default" w:eastAsia="仿宋"/>
          <w:lang w:val="en-US" w:eastAsia="zh-CN"/>
        </w:rPr>
        <w:t>个指标超过IV类地下水限值，分别为pH、臭和味、浑浊度、溶解性总固体、总硬度、色度、耗氧量、钠、氨氮、硫酸盐、氯化物、石油类，涉及25个重点监测单元</w:t>
      </w:r>
      <w:r>
        <w:rPr>
          <w:rFonts w:hint="eastAsia"/>
          <w:lang w:val="en-US" w:eastAsia="zh-CN"/>
        </w:rPr>
        <w:t>。</w:t>
      </w:r>
    </w:p>
    <w:p>
      <w:pPr>
        <w:rPr>
          <w:rFonts w:hint="eastAsia" w:cs="Times New Roman"/>
          <w:spacing w:val="-3"/>
          <w:szCs w:val="28"/>
          <w:highlight w:val="none"/>
          <w:lang w:val="en-US" w:eastAsia="zh-CN"/>
        </w:rPr>
      </w:pPr>
      <w:r>
        <w:rPr>
          <w:rFonts w:hint="eastAsia" w:ascii="Times New Roman" w:hAnsi="Times New Roman" w:eastAsia="仿宋" w:cs="Times New Roman"/>
          <w:bCs/>
          <w:sz w:val="28"/>
          <w:szCs w:val="28"/>
          <w:highlight w:val="none"/>
          <w:lang w:val="en-US" w:eastAsia="zh-CN" w:bidi="ar-SA"/>
        </w:rPr>
        <w:t>地下水关注污染物为</w:t>
      </w:r>
      <w:r>
        <w:rPr>
          <w:rFonts w:hint="default" w:ascii="Times New Roman" w:hAnsi="Times New Roman" w:eastAsia="仿宋" w:cs="Times New Roman"/>
          <w:spacing w:val="-3"/>
          <w:sz w:val="28"/>
          <w:szCs w:val="28"/>
          <w:highlight w:val="none"/>
          <w:lang w:eastAsia="zh-CN"/>
        </w:rPr>
        <w:t>COD、氨氮、总磷、硫化物、悬浮物、总氮、硝酸盐、亚硝酸盐、硫酸盐、pH、二硫化碳、AOX、石油烃（C</w:t>
      </w:r>
      <w:r>
        <w:rPr>
          <w:rFonts w:hint="default" w:ascii="Times New Roman" w:hAnsi="Times New Roman" w:eastAsia="仿宋" w:cs="Times New Roman"/>
          <w:spacing w:val="-3"/>
          <w:sz w:val="28"/>
          <w:szCs w:val="28"/>
          <w:highlight w:val="none"/>
          <w:vertAlign w:val="subscript"/>
          <w:lang w:eastAsia="zh-CN"/>
        </w:rPr>
        <w:t>10</w:t>
      </w:r>
      <w:r>
        <w:rPr>
          <w:rFonts w:hint="default" w:ascii="Times New Roman" w:hAnsi="Times New Roman" w:eastAsia="仿宋" w:cs="Times New Roman"/>
          <w:spacing w:val="-3"/>
          <w:sz w:val="28"/>
          <w:szCs w:val="28"/>
          <w:highlight w:val="none"/>
          <w:lang w:eastAsia="zh-CN"/>
        </w:rPr>
        <w:t>-C</w:t>
      </w:r>
      <w:r>
        <w:rPr>
          <w:rFonts w:hint="default" w:ascii="Times New Roman" w:hAnsi="Times New Roman" w:eastAsia="仿宋" w:cs="Times New Roman"/>
          <w:spacing w:val="-3"/>
          <w:sz w:val="28"/>
          <w:szCs w:val="28"/>
          <w:highlight w:val="none"/>
          <w:vertAlign w:val="subscript"/>
          <w:lang w:eastAsia="zh-CN"/>
        </w:rPr>
        <w:t>40</w:t>
      </w:r>
      <w:r>
        <w:rPr>
          <w:rFonts w:hint="default" w:ascii="Times New Roman" w:hAnsi="Times New Roman" w:eastAsia="仿宋" w:cs="Times New Roman"/>
          <w:spacing w:val="-3"/>
          <w:sz w:val="28"/>
          <w:szCs w:val="28"/>
          <w:highlight w:val="none"/>
          <w:lang w:eastAsia="zh-CN"/>
        </w:rPr>
        <w:t>）</w:t>
      </w:r>
      <w:r>
        <w:rPr>
          <w:rFonts w:hint="eastAsia" w:cs="Times New Roman"/>
          <w:spacing w:val="-3"/>
          <w:sz w:val="28"/>
          <w:szCs w:val="28"/>
          <w:highlight w:val="none"/>
          <w:lang w:eastAsia="zh-CN"/>
        </w:rPr>
        <w:t>、</w:t>
      </w:r>
      <w:r>
        <w:rPr>
          <w:rFonts w:hint="eastAsia" w:cs="Times New Roman"/>
          <w:spacing w:val="-3"/>
          <w:sz w:val="28"/>
          <w:szCs w:val="28"/>
          <w:highlight w:val="none"/>
          <w:lang w:val="en-US" w:eastAsia="zh-CN"/>
        </w:rPr>
        <w:t>钠</w:t>
      </w:r>
      <w:r>
        <w:rPr>
          <w:rFonts w:hint="eastAsia" w:cs="Times New Roman"/>
          <w:spacing w:val="-3"/>
          <w:sz w:val="28"/>
          <w:szCs w:val="28"/>
          <w:highlight w:val="none"/>
          <w:lang w:eastAsia="zh-CN"/>
        </w:rPr>
        <w:t>。</w:t>
      </w:r>
    </w:p>
    <w:p>
      <w:pPr>
        <w:rPr>
          <w:rFonts w:hint="default" w:ascii="Times New Roman" w:hAnsi="Times New Roman" w:eastAsia="仿宋" w:cs="Times New Roman"/>
          <w:bCs/>
          <w:sz w:val="28"/>
          <w:szCs w:val="28"/>
          <w:highlight w:val="none"/>
          <w:lang w:val="en-US" w:eastAsia="zh-CN" w:bidi="ar-SA"/>
        </w:rPr>
      </w:pPr>
      <w:r>
        <w:rPr>
          <w:rFonts w:hint="eastAsia" w:cs="Times New Roman"/>
          <w:spacing w:val="-3"/>
          <w:szCs w:val="28"/>
          <w:lang w:val="en-US" w:eastAsia="zh-CN"/>
        </w:rPr>
        <w:t>其中耗氧量、氨氮、硫酸盐、氯化物、</w:t>
      </w:r>
      <w:r>
        <w:rPr>
          <w:rFonts w:hint="default" w:ascii="Times New Roman" w:hAnsi="Times New Roman" w:eastAsia="仿宋" w:cs="Times New Roman"/>
          <w:spacing w:val="-3"/>
          <w:sz w:val="28"/>
          <w:szCs w:val="28"/>
          <w:highlight w:val="none"/>
          <w:lang w:eastAsia="zh-CN"/>
        </w:rPr>
        <w:t>石油烃（C</w:t>
      </w:r>
      <w:r>
        <w:rPr>
          <w:rFonts w:hint="default" w:ascii="Times New Roman" w:hAnsi="Times New Roman" w:eastAsia="仿宋" w:cs="Times New Roman"/>
          <w:spacing w:val="-3"/>
          <w:sz w:val="28"/>
          <w:szCs w:val="28"/>
          <w:highlight w:val="none"/>
          <w:vertAlign w:val="subscript"/>
          <w:lang w:eastAsia="zh-CN"/>
        </w:rPr>
        <w:t>10</w:t>
      </w:r>
      <w:r>
        <w:rPr>
          <w:rFonts w:hint="default" w:ascii="Times New Roman" w:hAnsi="Times New Roman" w:eastAsia="仿宋" w:cs="Times New Roman"/>
          <w:spacing w:val="-3"/>
          <w:sz w:val="28"/>
          <w:szCs w:val="28"/>
          <w:highlight w:val="none"/>
          <w:lang w:eastAsia="zh-CN"/>
        </w:rPr>
        <w:t>-C</w:t>
      </w:r>
      <w:r>
        <w:rPr>
          <w:rFonts w:hint="default" w:ascii="Times New Roman" w:hAnsi="Times New Roman" w:eastAsia="仿宋" w:cs="Times New Roman"/>
          <w:spacing w:val="-3"/>
          <w:sz w:val="28"/>
          <w:szCs w:val="28"/>
          <w:highlight w:val="none"/>
          <w:vertAlign w:val="subscript"/>
          <w:lang w:eastAsia="zh-CN"/>
        </w:rPr>
        <w:t>40</w:t>
      </w:r>
      <w:r>
        <w:rPr>
          <w:rFonts w:hint="default" w:ascii="Times New Roman" w:hAnsi="Times New Roman" w:eastAsia="仿宋" w:cs="Times New Roman"/>
          <w:spacing w:val="-3"/>
          <w:sz w:val="28"/>
          <w:szCs w:val="28"/>
          <w:highlight w:val="none"/>
          <w:lang w:eastAsia="zh-CN"/>
        </w:rPr>
        <w:t>）</w:t>
      </w:r>
      <w:r>
        <w:rPr>
          <w:rFonts w:hint="eastAsia" w:cs="Times New Roman"/>
          <w:spacing w:val="-3"/>
          <w:sz w:val="28"/>
          <w:szCs w:val="28"/>
          <w:highlight w:val="none"/>
          <w:lang w:eastAsia="zh-CN"/>
        </w:rPr>
        <w:t>、</w:t>
      </w:r>
      <w:r>
        <w:rPr>
          <w:rFonts w:hint="eastAsia" w:cs="Times New Roman"/>
          <w:spacing w:val="-3"/>
          <w:sz w:val="28"/>
          <w:szCs w:val="28"/>
          <w:highlight w:val="none"/>
          <w:lang w:val="en-US" w:eastAsia="zh-CN"/>
        </w:rPr>
        <w:t>钠</w:t>
      </w:r>
      <w:r>
        <w:rPr>
          <w:rFonts w:hint="eastAsia" w:ascii="Times New Roman" w:hAnsi="Times New Roman" w:cs="Times New Roman"/>
          <w:spacing w:val="-3"/>
          <w:szCs w:val="28"/>
          <w:lang w:val="en-US" w:eastAsia="zh-CN"/>
        </w:rPr>
        <w:t>超过</w:t>
      </w:r>
      <w:r>
        <w:rPr>
          <w:rFonts w:hint="default" w:ascii="Times New Roman" w:hAnsi="Times New Roman" w:eastAsia="仿宋" w:cs="Times New Roman"/>
          <w:bCs/>
          <w:sz w:val="28"/>
          <w:szCs w:val="28"/>
          <w:highlight w:val="none"/>
          <w:lang w:eastAsia="zh-CN"/>
        </w:rPr>
        <w:t>《地下水质量标准》（GB14848-2017）IV类水标准</w:t>
      </w:r>
      <w:r>
        <w:rPr>
          <w:rFonts w:hint="eastAsia" w:cs="Times New Roman"/>
          <w:bCs/>
          <w:sz w:val="28"/>
          <w:szCs w:val="28"/>
          <w:highlight w:val="none"/>
          <w:lang w:val="en-US" w:eastAsia="zh-CN"/>
        </w:rPr>
        <w:t>限值。</w:t>
      </w:r>
    </w:p>
    <w:p>
      <w:pPr>
        <w:rPr>
          <w:rFonts w:hint="eastAsia"/>
          <w:lang w:val="en-US" w:eastAsia="zh-CN"/>
        </w:rPr>
      </w:pPr>
      <w:r>
        <w:rPr>
          <w:rFonts w:hint="eastAsia"/>
          <w:lang w:val="en-US" w:eastAsia="zh-CN"/>
        </w:rPr>
        <w:t>故本地块潜水层地下水整体环境质量较差，综合指标为GB/T 14848中V类地下水。</w:t>
      </w:r>
    </w:p>
    <w:p>
      <w:pPr>
        <w:pStyle w:val="2"/>
        <w:bidi w:val="0"/>
        <w:rPr>
          <w:rFonts w:hint="default"/>
        </w:rPr>
      </w:pPr>
      <w:bookmarkStart w:id="8" w:name="_Toc30540"/>
      <w:bookmarkStart w:id="9" w:name="_Toc1680"/>
      <w:r>
        <w:rPr>
          <w:rFonts w:hint="eastAsia"/>
          <w:lang w:val="en-US" w:eastAsia="zh-CN"/>
        </w:rPr>
        <w:t>建议措施</w:t>
      </w:r>
      <w:bookmarkEnd w:id="8"/>
      <w:bookmarkEnd w:id="9"/>
    </w:p>
    <w:p>
      <w:pPr>
        <w:bidi w:val="0"/>
        <w:rPr>
          <w:rFonts w:hint="default"/>
          <w:lang w:eastAsia="zh-CN"/>
        </w:rPr>
      </w:pPr>
      <w:r>
        <w:rPr>
          <w:rFonts w:hint="default"/>
          <w:lang w:eastAsia="zh-CN"/>
        </w:rPr>
        <w:t>（1）对存在检测结果明显超过 IV 类地下水限值的重点监测单元开展土壤和地下水污染隐患排查工作，分析当前该单元内是否存在污染源或者泄露风险</w:t>
      </w:r>
      <w:r>
        <w:rPr>
          <w:rFonts w:hint="eastAsia"/>
          <w:lang w:eastAsia="zh-CN"/>
        </w:rPr>
        <w:t>，</w:t>
      </w:r>
      <w:r>
        <w:rPr>
          <w:rFonts w:hint="default"/>
          <w:lang w:eastAsia="zh-CN"/>
        </w:rPr>
        <w:t>明确当前是否存在潜在污染的可能</w:t>
      </w:r>
      <w:r>
        <w:rPr>
          <w:rFonts w:hint="eastAsia"/>
          <w:lang w:eastAsia="zh-CN"/>
        </w:rPr>
        <w:t>；</w:t>
      </w:r>
    </w:p>
    <w:p>
      <w:pPr>
        <w:bidi w:val="0"/>
        <w:rPr>
          <w:rFonts w:hint="default"/>
          <w:lang w:eastAsia="zh-CN"/>
        </w:rPr>
      </w:pPr>
      <w:r>
        <w:rPr>
          <w:rFonts w:hint="default"/>
          <w:lang w:eastAsia="zh-CN"/>
        </w:rPr>
        <w:t>（2）提高地下水的监测频次，重点关注超过GB/T 14848 中 IV 类地下水限值和显著超过对照点检出值的指标以及关注污染物。通过提高监测频次，掌握该重点监测单元的污染物浓度变化趋势，分析其污染成因，判断是否为历史或当前生产泄漏或污染迁移造成</w:t>
      </w:r>
      <w:r>
        <w:rPr>
          <w:rFonts w:hint="eastAsia"/>
          <w:lang w:eastAsia="zh-CN"/>
        </w:rPr>
        <w:t>；</w:t>
      </w:r>
    </w:p>
    <w:p>
      <w:pPr>
        <w:rPr>
          <w:rFonts w:hint="eastAsia"/>
          <w:lang w:val="en-US" w:eastAsia="zh-CN"/>
        </w:rPr>
      </w:pPr>
      <w:r>
        <w:rPr>
          <w:rFonts w:hint="default"/>
          <w:lang w:eastAsia="zh-CN"/>
        </w:rPr>
        <w:t>（3）根据《土壤污染防治行动计划》</w:t>
      </w:r>
      <w:r>
        <w:rPr>
          <w:rFonts w:hint="eastAsia"/>
          <w:lang w:eastAsia="zh-CN"/>
        </w:rPr>
        <w:t>（</w:t>
      </w:r>
      <w:r>
        <w:rPr>
          <w:rFonts w:hint="default"/>
          <w:lang w:eastAsia="zh-CN"/>
        </w:rPr>
        <w:t>国发</w:t>
      </w:r>
      <w:r>
        <w:rPr>
          <w:rFonts w:hint="eastAsia"/>
          <w:lang w:eastAsia="zh-CN"/>
        </w:rPr>
        <w:t>（</w:t>
      </w:r>
      <w:r>
        <w:rPr>
          <w:rFonts w:hint="default"/>
          <w:lang w:eastAsia="zh-CN"/>
        </w:rPr>
        <w:t>2016</w:t>
      </w:r>
      <w:r>
        <w:rPr>
          <w:rFonts w:hint="eastAsia"/>
          <w:lang w:eastAsia="zh-CN"/>
        </w:rPr>
        <w:t>）</w:t>
      </w:r>
      <w:r>
        <w:rPr>
          <w:rFonts w:hint="default"/>
          <w:lang w:eastAsia="zh-CN"/>
        </w:rPr>
        <w:t>31号</w:t>
      </w:r>
      <w:r>
        <w:rPr>
          <w:rFonts w:hint="eastAsia"/>
          <w:lang w:eastAsia="zh-CN"/>
        </w:rPr>
        <w:t>）</w:t>
      </w:r>
      <w:r>
        <w:rPr>
          <w:rFonts w:hint="default"/>
          <w:lang w:eastAsia="zh-CN"/>
        </w:rPr>
        <w:t>要求，企业每年要自行对其用地进行土壤环境监测，结果通过</w:t>
      </w:r>
      <w:bookmarkStart w:id="10" w:name="_GoBack"/>
      <w:r>
        <w:rPr>
          <w:rFonts w:hint="default"/>
          <w:lang w:eastAsia="zh-CN"/>
        </w:rPr>
        <w:t>线上或线下平台向社会公开</w:t>
      </w:r>
      <w:bookmarkEnd w:id="10"/>
      <w:r>
        <w:rPr>
          <w:rFonts w:hint="eastAsia"/>
          <w:lang w:eastAsia="zh-CN"/>
        </w:rPr>
        <w: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center"/>
    </w:pPr>
    <w:r>
      <w:rPr>
        <w:rFonts w:hint="eastAsia"/>
      </w:rPr>
      <w:t>江苏金羚纤维素纤维有限公司土壤和地下水自行监测报告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2943A"/>
    <w:multiLevelType w:val="multilevel"/>
    <w:tmpl w:val="2712943A"/>
    <w:lvl w:ilvl="0" w:tentative="0">
      <w:start w:val="1"/>
      <w:numFmt w:val="decimal"/>
      <w:suff w:val="space"/>
      <w:lvlText w:val="%1"/>
      <w:lvlJc w:val="left"/>
      <w:pPr>
        <w:tabs>
          <w:tab w:val="left" w:pos="0"/>
        </w:tabs>
        <w:ind w:left="0" w:firstLine="0"/>
      </w:pPr>
      <w:rPr>
        <w:rFonts w:hint="default" w:ascii="Times New Roman" w:hAnsi="Times New Roman" w:eastAsia="宋体" w:cs="宋体"/>
        <w:color w:val="auto"/>
        <w:sz w:val="36"/>
      </w:rPr>
    </w:lvl>
    <w:lvl w:ilvl="1" w:tentative="0">
      <w:start w:val="1"/>
      <w:numFmt w:val="decimal"/>
      <w:pStyle w:val="3"/>
      <w:suff w:val="space"/>
      <w:lvlText w:val="%1.%2"/>
      <w:lvlJc w:val="left"/>
      <w:pPr>
        <w:tabs>
          <w:tab w:val="left" w:pos="0"/>
        </w:tabs>
        <w:ind w:left="0" w:firstLine="0"/>
      </w:pPr>
      <w:rPr>
        <w:rFonts w:hint="default" w:ascii="Times New Roman" w:hAnsi="Times New Roman" w:eastAsia="仿宋" w:cs="宋体"/>
        <w:b/>
        <w:bCs/>
        <w:color w:val="auto"/>
        <w:sz w:val="30"/>
      </w:rPr>
    </w:lvl>
    <w:lvl w:ilvl="2" w:tentative="0">
      <w:start w:val="1"/>
      <w:numFmt w:val="decimal"/>
      <w:suff w:val="space"/>
      <w:lvlText w:val="%1.%2.%3"/>
      <w:lvlJc w:val="left"/>
      <w:pPr>
        <w:tabs>
          <w:tab w:val="left" w:pos="420"/>
        </w:tabs>
        <w:ind w:left="0" w:firstLine="0"/>
      </w:pPr>
      <w:rPr>
        <w:rFonts w:hint="default" w:ascii="Times New Roman" w:hAnsi="Times New Roman" w:eastAsia="仿宋" w:cs="宋体"/>
        <w:sz w:val="32"/>
      </w:rPr>
    </w:lvl>
    <w:lvl w:ilvl="3" w:tentative="0">
      <w:start w:val="1"/>
      <w:numFmt w:val="decimal"/>
      <w:suff w:val="space"/>
      <w:lvlText w:val="%1.%2.%3.%4"/>
      <w:lvlJc w:val="left"/>
      <w:pPr>
        <w:tabs>
          <w:tab w:val="left" w:pos="0"/>
        </w:tabs>
        <w:ind w:left="0" w:firstLine="0"/>
      </w:pPr>
      <w:rPr>
        <w:rFonts w:hint="default" w:ascii="Times New Roman" w:hAnsi="Times New Roman" w:eastAsia="仿宋" w:cs="宋体"/>
        <w:color w:val="auto"/>
        <w:sz w:val="28"/>
      </w:rPr>
    </w:lvl>
    <w:lvl w:ilvl="4" w:tentative="0">
      <w:start w:val="1"/>
      <w:numFmt w:val="decimal"/>
      <w:suff w:val="space"/>
      <w:lvlText w:val="%1.%2.%3.%4.%5"/>
      <w:lvlJc w:val="left"/>
      <w:pPr>
        <w:tabs>
          <w:tab w:val="left" w:pos="420"/>
        </w:tabs>
        <w:ind w:left="0" w:firstLine="0"/>
      </w:pPr>
      <w:rPr>
        <w:rFonts w:hint="default" w:ascii="Times New Roman" w:hAnsi="Times New Roman" w:eastAsia="仿宋" w:cs="宋体"/>
        <w:sz w:val="28"/>
      </w:rPr>
    </w:lvl>
    <w:lvl w:ilvl="5" w:tentative="0">
      <w:start w:val="1"/>
      <w:numFmt w:val="decimal"/>
      <w:suff w:val="space"/>
      <w:lvlText w:val="%1.%2.%3.%4.%5.%6"/>
      <w:lvlJc w:val="left"/>
      <w:pPr>
        <w:tabs>
          <w:tab w:val="left" w:pos="420"/>
        </w:tabs>
        <w:ind w:left="0" w:firstLine="0"/>
      </w:pPr>
      <w:rPr>
        <w:rFonts w:hint="default" w:ascii="Times New Roman" w:hAnsi="Times New Roman" w:eastAsia="仿宋" w:cs="宋体"/>
        <w:sz w:val="28"/>
      </w:rPr>
    </w:lvl>
    <w:lvl w:ilvl="6" w:tentative="0">
      <w:start w:val="1"/>
      <w:numFmt w:val="decimal"/>
      <w:suff w:val="space"/>
      <w:lvlText w:val="%1.%2.%3.%4.%5.%6.%7"/>
      <w:lvlJc w:val="left"/>
      <w:pPr>
        <w:tabs>
          <w:tab w:val="left" w:pos="420"/>
        </w:tabs>
        <w:ind w:left="0" w:firstLine="0"/>
      </w:pPr>
      <w:rPr>
        <w:rFonts w:hint="default" w:ascii="Times New Roman" w:hAnsi="Times New Roman" w:eastAsia="仿宋" w:cs="宋体"/>
        <w:sz w:val="28"/>
      </w:rPr>
    </w:lvl>
    <w:lvl w:ilvl="7" w:tentative="0">
      <w:start w:val="1"/>
      <w:numFmt w:val="decimal"/>
      <w:lvlRestart w:val="2"/>
      <w:suff w:val="space"/>
      <w:lvlText w:val="表%1.%2-%8"/>
      <w:lvlJc w:val="left"/>
      <w:pPr>
        <w:tabs>
          <w:tab w:val="left" w:pos="3114"/>
        </w:tabs>
        <w:ind w:left="2694" w:firstLine="0"/>
      </w:pPr>
      <w:rPr>
        <w:rFonts w:hint="default" w:ascii="Times New Roman" w:hAnsi="Times New Roman" w:eastAsia="仿宋" w:cs="宋体"/>
        <w:sz w:val="24"/>
      </w:rPr>
    </w:lvl>
    <w:lvl w:ilvl="8" w:tentative="0">
      <w:start w:val="1"/>
      <w:numFmt w:val="decimal"/>
      <w:lvlRestart w:val="2"/>
      <w:suff w:val="space"/>
      <w:lvlText w:val="图%1.%2-%9"/>
      <w:lvlJc w:val="left"/>
      <w:pPr>
        <w:tabs>
          <w:tab w:val="left" w:pos="0"/>
        </w:tabs>
        <w:ind w:left="0" w:firstLine="0"/>
      </w:pPr>
      <w:rPr>
        <w:rFonts w:hint="default" w:ascii="Times New Roman" w:hAnsi="Times New Roman" w:eastAsia="仿宋" w:cs="宋体"/>
        <w:sz w:val="24"/>
      </w:rPr>
    </w:lvl>
  </w:abstractNum>
  <w:abstractNum w:abstractNumId="1">
    <w:nsid w:val="4557F899"/>
    <w:multiLevelType w:val="multilevel"/>
    <w:tmpl w:val="4557F899"/>
    <w:lvl w:ilvl="0" w:tentative="0">
      <w:start w:val="1"/>
      <w:numFmt w:val="decimal"/>
      <w:pStyle w:val="2"/>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260F5"/>
    <w:rsid w:val="369B1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360" w:lineRule="auto"/>
      <w:ind w:firstLine="440" w:firstLineChars="200"/>
      <w:jc w:val="both"/>
    </w:pPr>
    <w:rPr>
      <w:rFonts w:ascii="Times New Roman" w:hAnsi="Times New Roman" w:eastAsia="仿宋" w:cstheme="minorBidi"/>
      <w:sz w:val="28"/>
      <w:szCs w:val="24"/>
      <w:lang w:val="en-US" w:eastAsia="en-US"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480" w:lineRule="auto"/>
      <w:ind w:left="0" w:firstLine="0" w:firstLineChars="0"/>
      <w:outlineLvl w:val="0"/>
    </w:pPr>
    <w:rPr>
      <w:rFonts w:ascii="Times New Roman" w:hAnsi="Times New Roman"/>
      <w:b/>
      <w:kern w:val="44"/>
      <w:sz w:val="44"/>
    </w:rPr>
  </w:style>
  <w:style w:type="paragraph" w:styleId="3">
    <w:name w:val="heading 2"/>
    <w:basedOn w:val="1"/>
    <w:next w:val="1"/>
    <w:unhideWhenUsed/>
    <w:qFormat/>
    <w:uiPriority w:val="0"/>
    <w:pPr>
      <w:keepNext/>
      <w:keepLines/>
      <w:numPr>
        <w:ilvl w:val="1"/>
        <w:numId w:val="2"/>
      </w:numPr>
      <w:spacing w:line="360" w:lineRule="auto"/>
      <w:ind w:firstLineChars="0"/>
      <w:outlineLvl w:val="1"/>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line="360" w:lineRule="auto"/>
      <w:ind w:firstLine="480" w:firstLineChars="200"/>
      <w:jc w:val="both"/>
    </w:pPr>
  </w:style>
  <w:style w:type="paragraph" w:styleId="5">
    <w:name w:val="Body Text Indent 2"/>
    <w:basedOn w:val="1"/>
    <w:next w:val="1"/>
    <w:qFormat/>
    <w:uiPriority w:val="0"/>
    <w:pPr>
      <w:tabs>
        <w:tab w:val="left" w:pos="3360"/>
      </w:tabs>
      <w:snapToGrid w:val="0"/>
      <w:spacing w:line="360" w:lineRule="auto"/>
      <w:ind w:right="11" w:firstLine="629"/>
    </w:p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86233</dc:creator>
  <cp:lastModifiedBy>岁月是朵两生花</cp:lastModifiedBy>
  <dcterms:modified xsi:type="dcterms:W3CDTF">2025-11-12T08:08:50Z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eyJoZGlkIjoiZjY4MmMwNTFhZjMyYzQwMDIyMDM5MDg5NWMyZWMyMDIiLCJ1c2VySWQiOiIyNjM4Mzk4OTkifQ==</vt:lpwstr>
  </property>
  <property fmtid="{D5CDD505-2E9C-101B-9397-08002B2CF9AE}" pid="4" name="ICV">
    <vt:lpwstr>EE318DDEF1864D68AAD1A1036FA7506A_12</vt:lpwstr>
  </property>
</Properties>
</file>